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-27.45pt;margin-top:19.2pt;height:72pt;width:72pt;z-index:251661312;mso-width-relative:page;mso-height-relative:page;" stroked="f" coordsize="21600,21600" o:gfxdata="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s9w2dcA&#10;AAAJAQAADwAAAAAAAAABACAAAAAiAAAAZHJzL2Rvd25yZXYueG1sUEsBAhQAFAAAAAgAh07iQPYY&#10;RG2uAQAAPwMAAA4AAAAAAAAAAQAgAAAAJgEAAGRycy9lMm9Eb2MueG1sUEsFBgAAAAAGAAYAWQEA&#10;AEYFAAAAAA=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w:pict>
          <v:shape id="_x0000_s1027" o:spid="_x0000_s1027" o:spt="202" type="#_x0000_t202" style="position:absolute;left:0pt;flip:x y;margin-left:57.4pt;margin-top:15.2pt;height:56.2pt;width:327.45pt;z-index:251660288;mso-width-relative:page;mso-height-relative:page;" stroked="f" coordsize="21600,21600" o:gfxdata="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UfSFtgAAAAKAQAADwAAAAAAAAABACAAAAAiAAAAZHJzL2Rvd25yZXYu&#10;eG1sUEsBAhQAFAAAAAgAh07iQLTbB6bCAQAAVAMAAA4AAAAAAAAAAQAgAAAAJwEAAGRycy9lMm9E&#10;b2MueG1sUEsFBgAAAAAGAAYAWQEAAFsF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Times New Roman" w:hAnsi="Times New Roman" w:eastAsia="仿宋_GB2312"/>
                      <w:sz w:val="32"/>
                      <w:szCs w:val="32"/>
                    </w:rPr>
                    <w:t>皖老学协字〔</w:t>
                  </w:r>
                  <w:r>
                    <w:rPr>
                      <w:rFonts w:hint="eastAsia" w:ascii="Times New Roman" w:hAnsi="Times New Roman" w:eastAsia="仿宋_GB2312"/>
                      <w:sz w:val="32"/>
                      <w:szCs w:val="32"/>
                    </w:rPr>
                    <w:t>2019</w:t>
                  </w:r>
                  <w:r>
                    <w:rPr>
                      <w:rFonts w:ascii="Times New Roman" w:hAnsi="Times New Roman" w:eastAsia="仿宋_GB2312"/>
                      <w:sz w:val="32"/>
                      <w:szCs w:val="32"/>
                    </w:rPr>
                    <w:t>〕</w:t>
                  </w:r>
                  <w:r>
                    <w:rPr>
                      <w:rFonts w:hint="eastAsia" w:ascii="Times New Roman" w:hAnsi="Times New Roman" w:eastAsia="仿宋_GB2312"/>
                      <w:sz w:val="32"/>
                      <w:szCs w:val="32"/>
                      <w:lang w:val="en-US" w:eastAsia="zh-CN"/>
                    </w:rPr>
                    <w:t>16</w:t>
                  </w:r>
                  <w:r>
                    <w:rPr>
                      <w:rFonts w:ascii="Times New Roman" w:hAnsi="Times New Roman" w:eastAsia="仿宋_GB2312"/>
                      <w:sz w:val="32"/>
                      <w:szCs w:val="32"/>
                    </w:rPr>
                    <w:t>号</w:t>
                  </w:r>
                </w:p>
              </w:txbxContent>
            </v:textbox>
          </v:shape>
        </w:pict>
      </w:r>
    </w:p>
    <w:p>
      <w:pPr>
        <w:spacing w:line="51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1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华文中宋"/>
          <w:sz w:val="40"/>
          <w:szCs w:val="40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关于在全省老年大学系统评选优秀教师的通知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各市老教委、各会员校：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认真贯彻落实党的十九大精神，以及安徽省《关于加快“十三五”期间老年教育发展的实施意见》[皖政办秘（2017）46号文]的要求，巩固和发展老年教育事业，建设一支优秀的老年大学教师队伍，不断提升办学水平和教学质量，增强老年大学的吸引力和生命力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年初工作计划安排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今年继续在全省老年大学系统评选和表彰优秀教师，希望各地予以高度重视，参照2018年6月28日《安徽省老年大学优秀教师评选试行办法》认真做好评选工作。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特此通知。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附1：安徽省老年大学系统优秀教师评选试行办法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附2：安徽省老年大学系统优秀教师测评表</w:t>
      </w: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        2019年3月15日</w:t>
      </w:r>
    </w:p>
    <w:p>
      <w:pPr>
        <w:widowControl/>
        <w:shd w:val="clear" w:color="auto" w:fill="FFFFFF"/>
        <w:snapToGrid w:val="0"/>
        <w:spacing w:after="156" w:afterLines="50" w:line="560" w:lineRule="exact"/>
        <w:jc w:val="left"/>
        <w:outlineLvl w:val="0"/>
        <w:rPr>
          <w:rFonts w:ascii="方正小标宋简体" w:hAnsi="方正小标宋简体" w:eastAsia="方正小标宋简体" w:cs="方正小标宋简体"/>
          <w:color w:val="333333"/>
          <w:kern w:val="36"/>
          <w:sz w:val="40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</w:rPr>
        <w:t>：</w:t>
      </w:r>
    </w:p>
    <w:p>
      <w:pPr>
        <w:widowControl/>
        <w:shd w:val="clear" w:color="auto" w:fill="FFFFFF"/>
        <w:snapToGrid w:val="0"/>
        <w:spacing w:after="156" w:afterLines="50" w:line="560" w:lineRule="exact"/>
        <w:jc w:val="center"/>
        <w:outlineLvl w:val="0"/>
        <w:rPr>
          <w:rFonts w:ascii="宋体" w:hAnsi="宋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0"/>
          <w:szCs w:val="36"/>
        </w:rPr>
        <w:t>安徽省老年大学系统优秀教师评选试行办法</w:t>
      </w:r>
    </w:p>
    <w:p>
      <w:pPr>
        <w:snapToGrid w:val="0"/>
        <w:spacing w:line="640" w:lineRule="exact"/>
        <w:ind w:firstLine="640" w:firstLineChars="200"/>
        <w:rPr>
          <w:rFonts w:ascii="宋体" w:hAnsi="宋体" w:cs="仿宋_GB2312"/>
          <w:sz w:val="32"/>
          <w:szCs w:val="32"/>
          <w:shd w:val="clear" w:color="auto" w:fill="FFFFFF"/>
        </w:rPr>
      </w:pP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为贯彻执行安徽省《关于加快“十三五”期间老年教育发展的实施意见》[皖政办秘（2017）46号文]，建设一支优秀的老年大学教师队伍，特制订本试行办法。</w:t>
      </w:r>
    </w:p>
    <w:p>
      <w:pPr>
        <w:snapToGrid w:val="0"/>
        <w:spacing w:line="640" w:lineRule="exact"/>
        <w:ind w:firstLine="640" w:firstLineChars="200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一、评选对象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安徽省老年大学协会会员校，从事老年大学课堂教学第一线五年以上教师。</w:t>
      </w:r>
    </w:p>
    <w:p>
      <w:pPr>
        <w:snapToGrid w:val="0"/>
        <w:spacing w:line="640" w:lineRule="exact"/>
        <w:ind w:firstLine="640" w:firstLineChars="200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二、评选条件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（一）政治及道德素养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1、始终同党中央保持一致,遵纪守法，自觉弘扬社会主义核心价值观。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2、积极贯彻老年教育方针，具有良好的职业道德，有强烈的事业心和责任感。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3、服从大局，具有奉献精神和尊老、敬老、爱老的高尚品德。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4、为人师表，宽以待人，严以律己，关爱学员。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5、认真履行教师职责，在学员中有较高的信誉和感召力。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（二）教学工作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1、具有丰富的教学经验以及较高的专业知识或技能水平，出色完成教学相关任务。</w:t>
      </w:r>
    </w:p>
    <w:p>
      <w:pPr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2、教学业务基本功扎实，教学计划、教案规范优良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3、课堂内容设置合理，学员易于准确掌握。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4、师生关系融洽，教学秩序良好。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5、仪表端正，举止文明，授课生动。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（三）能力特色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1、教学改革、教研成果显著。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2、教学工作有创新，教学经验值得推广。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3、带领和指导学员服务社会，成绩显著。</w:t>
      </w:r>
    </w:p>
    <w:p>
      <w:pPr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4、得到学校与学员的一致好评，问卷调查90分以上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snapToGrid w:val="0"/>
        <w:spacing w:line="640" w:lineRule="exact"/>
        <w:ind w:firstLine="640" w:firstLineChars="200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三、评选时间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评选时间2019年5月底完成</w:t>
      </w:r>
    </w:p>
    <w:p>
      <w:pPr>
        <w:snapToGrid w:val="0"/>
        <w:spacing w:line="640" w:lineRule="exact"/>
        <w:ind w:firstLine="640" w:firstLineChars="200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四、评选人数</w:t>
      </w:r>
    </w:p>
    <w:p>
      <w:pPr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省老年大学4名；每市8名，其中市老年大学2名。 </w:t>
      </w:r>
    </w:p>
    <w:p>
      <w:pPr>
        <w:snapToGrid w:val="0"/>
        <w:spacing w:line="640" w:lineRule="exact"/>
        <w:ind w:firstLine="640" w:firstLineChars="200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五、评选程序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1、各市参照评选条件，可自行组织本市区域内老年大学市级优秀教师评选，从中推荐省级优秀教师人选，并报省老年大学协会。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2、协会教学工作委员会组织抽查，通过学员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教师座谈会复核。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3、协会常务理事会议研究初步确认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4、协会网站向社会公示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5、公示结束无异议，协会发文公布。</w:t>
      </w:r>
    </w:p>
    <w:p>
      <w:pPr>
        <w:snapToGrid w:val="0"/>
        <w:spacing w:line="640" w:lineRule="exact"/>
        <w:ind w:firstLine="640" w:firstLineChars="200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六、奖励办法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省老年大学协会颁发奖状或证书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2、在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省老年大学协会相关会议上表彰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3、纳入全省老年大学系统教师人材库，优先聘用。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4、优先安排参加相关学术交流、考察和培训。</w:t>
      </w: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640" w:lineRule="exact"/>
        <w:ind w:right="160"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</w:t>
      </w:r>
    </w:p>
    <w:p>
      <w:pPr>
        <w:snapToGrid w:val="0"/>
        <w:spacing w:line="560" w:lineRule="exact"/>
        <w:ind w:right="1440"/>
        <w:rPr>
          <w:rFonts w:ascii="宋体" w:hAnsi="宋体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 w:firstLine="640" w:firstLineChars="200"/>
        <w:jc w:val="righ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right="160"/>
        <w:jc w:val="left"/>
        <w:rPr>
          <w:rFonts w:ascii="仿宋" w:hAnsi="仿宋" w:eastAsia="仿宋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after="156" w:afterLines="50"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</w:rPr>
        <w:t>：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安徽省老年大学系统优秀教师测评表</w:t>
      </w:r>
    </w:p>
    <w:p>
      <w:pPr>
        <w:widowControl/>
        <w:shd w:val="clear" w:color="auto" w:fill="FFFFFF"/>
        <w:spacing w:line="360" w:lineRule="atLeas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</w:rPr>
        <w:t>测评单位（盖章）</w:t>
      </w:r>
      <w:r>
        <w:rPr>
          <w:rFonts w:ascii="宋体" w:hAnsi="宋体" w:cs="Arial"/>
          <w:b/>
          <w:bCs/>
          <w:color w:val="333333"/>
          <w:kern w:val="0"/>
          <w:sz w:val="30"/>
          <w:szCs w:val="30"/>
        </w:rPr>
        <w:softHyphen/>
      </w: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</w:rPr>
        <w:t>_________    教师姓名</w:t>
      </w:r>
      <w:r>
        <w:rPr>
          <w:rFonts w:ascii="宋体" w:hAnsi="宋体" w:cs="Arial"/>
          <w:b/>
          <w:bCs/>
          <w:color w:val="333333"/>
          <w:kern w:val="0"/>
          <w:sz w:val="30"/>
          <w:szCs w:val="30"/>
        </w:rPr>
        <w:softHyphen/>
      </w: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</w:rPr>
        <w:t>_________  编号_____</w:t>
      </w:r>
    </w:p>
    <w:tbl>
      <w:tblPr>
        <w:tblStyle w:val="4"/>
        <w:tblW w:w="10065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6237"/>
        <w:gridCol w:w="733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</w:rPr>
              <w:t>项目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</w:rPr>
              <w:t>评比内容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</w:rPr>
              <w:t>标准分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</w:rPr>
              <w:t>得分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</w:rPr>
              <w:t>综合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素质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遵纪守法，始终同党中央保持一致。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服从大局，具有奉献精神和尊老、敬老、爱老的高尚品德。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模范遵守学校各项规章制度。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积极贯彻老年教育方针，具有良好的职业道德，有强烈的事业心和责任感。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为人师表，宽以待人，严以律己，关爱学员。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认真履行教师职责，在学员中有较高的信誉和感召力。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教学</w:t>
            </w:r>
          </w:p>
          <w:p>
            <w:pPr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工作</w:t>
            </w:r>
          </w:p>
          <w:p>
            <w:pPr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具有丰富的教学经验以及较高的专业知识或技能水平，出色完成教学相关任务。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教学业务基本功扎实，教学计划、教案规范优良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课堂内容设置合理，学员易于准确掌握。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师生关系融洽，教学秩序良好。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仪表端正，举止文明，授课生动。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能力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特色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教学改革、教学研究成果显著。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6237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教学工作有创新，教学经验值得推广。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教材编撰、教研论文撰写等方面有创新、有成果，并得到相关部门表彰或认可。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带领和指导学员服务社会，成绩显著。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得到学校与学员的一致好评，问卷调查90分以上。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9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</w:rPr>
              <w:t>合计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32"/>
              </w:rPr>
              <w:t>100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Arial"/>
                <w:b/>
                <w:bCs/>
                <w:color w:val="333333"/>
                <w:kern w:val="0"/>
              </w:rPr>
            </w:pPr>
          </w:p>
        </w:tc>
      </w:tr>
    </w:tbl>
    <w:p>
      <w:pPr>
        <w:snapToGrid w:val="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B4DEA20-7002-4E66-8C66-681DCA5FD8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D33C99-3884-44B6-BB0B-4126DDDF9C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4BA45A34-98C4-4174-B1AD-79603BACBE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DA7C00-D275-4562-865A-B655C95B8D5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03847FE2-3E40-4A90-9A8E-81551895DFD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5041DF1-A52D-45CE-917A-7CB2E7140A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B822925-A77C-4C90-9B45-10AE91A661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AD13E8"/>
    <w:rsid w:val="00087A1A"/>
    <w:rsid w:val="002313A6"/>
    <w:rsid w:val="00285B6D"/>
    <w:rsid w:val="003F5650"/>
    <w:rsid w:val="005A3A12"/>
    <w:rsid w:val="005D7EAB"/>
    <w:rsid w:val="006C3E13"/>
    <w:rsid w:val="00754A3E"/>
    <w:rsid w:val="009649BC"/>
    <w:rsid w:val="009F3063"/>
    <w:rsid w:val="00B07C7E"/>
    <w:rsid w:val="00B91AD6"/>
    <w:rsid w:val="00E26AF5"/>
    <w:rsid w:val="00ED23DF"/>
    <w:rsid w:val="00F71DCC"/>
    <w:rsid w:val="06E05B02"/>
    <w:rsid w:val="13480215"/>
    <w:rsid w:val="1AAD13E8"/>
    <w:rsid w:val="2E0D1D4E"/>
    <w:rsid w:val="42F222D8"/>
    <w:rsid w:val="4CE06994"/>
    <w:rsid w:val="55D03827"/>
    <w:rsid w:val="5AEC4526"/>
    <w:rsid w:val="64F976B4"/>
    <w:rsid w:val="6D863C12"/>
    <w:rsid w:val="6F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77</Characters>
  <Lines>1</Lines>
  <Paragraphs>1</Paragraphs>
  <TotalTime>320</TotalTime>
  <ScaleCrop>false</ScaleCrop>
  <LinksUpToDate>false</LinksUpToDate>
  <CharactersWithSpaces>691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2019-03-12T02:59:00Z</dcterms:created>
  <dc:creator>＇Lee</dc:creator>
  <cp:lastModifiedBy>非卖品♚</cp:lastModifiedBy>
  <cp:lastPrinted>2019-03-22T03:27:52Z</cp:lastPrinted>
  <dcterms:modified xsi:type="dcterms:W3CDTF">2019-03-22T08:09:28Z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