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安徽省老年大学（学校）教师说课评课</w:t>
      </w:r>
      <w:r>
        <w:rPr>
          <w:rFonts w:hint="eastAsia"/>
          <w:b/>
          <w:sz w:val="36"/>
          <w:szCs w:val="36"/>
        </w:rPr>
        <w:t>评价</w:t>
      </w:r>
      <w:r>
        <w:rPr>
          <w:rFonts w:hint="eastAsia"/>
          <w:b/>
          <w:sz w:val="36"/>
          <w:szCs w:val="36"/>
          <w:lang w:eastAsia="zh-CN"/>
        </w:rPr>
        <w:t>标准</w:t>
      </w:r>
      <w:bookmarkEnd w:id="0"/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教师姓名：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 课程名称：</w:t>
      </w:r>
      <w:r>
        <w:rPr>
          <w:rFonts w:hint="eastAsia"/>
          <w:sz w:val="28"/>
          <w:szCs w:val="28"/>
          <w:lang w:val="en-US" w:eastAsia="zh-CN"/>
        </w:rPr>
        <w:t xml:space="preserve">                        日期：   年   月   日</w:t>
      </w:r>
    </w:p>
    <w:tbl>
      <w:tblPr>
        <w:tblStyle w:val="4"/>
        <w:tblW w:w="14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929"/>
        <w:gridCol w:w="6310"/>
        <w:gridCol w:w="923"/>
        <w:gridCol w:w="884"/>
        <w:gridCol w:w="1062"/>
        <w:gridCol w:w="1062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1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评价项目</w:t>
            </w:r>
          </w:p>
        </w:tc>
        <w:tc>
          <w:tcPr>
            <w:tcW w:w="63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评价标准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权重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A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B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C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1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1～0.8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0.8～0.6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0.6～0.4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0.4以下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说教材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教材分析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说明教材编写或选用的理由和依据，体现专业性、科学性和实践性，符合老年学员的接受能力。为学员自主学习提供有效的辅助材料，包括讲义、网络资源信息等。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教学内容分析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说明教学内容选取的针对性、适用性，并阐释合理运用教材，对教材内容进行修改、增减处理的理由和依据。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说学情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教学对象</w:t>
            </w:r>
            <w:r>
              <w:rPr>
                <w:rFonts w:hint="eastAsia" w:ascii="宋体" w:hAnsi="宋体" w:cs="宋体"/>
                <w:kern w:val="0"/>
                <w:sz w:val="24"/>
              </w:rPr>
              <w:t>分析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了解学员的已学的知识、能力、经验，学习心理、学习兴趣以及可能遇到的学习困难和原因。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说目标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目标分析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说明本节课教学对学员知识、技能和情感态度的要求，目标结构完整、具有可操作性。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重难点</w:t>
            </w:r>
            <w:r>
              <w:rPr>
                <w:rFonts w:hint="eastAsia" w:ascii="宋体" w:hAnsi="宋体" w:cs="宋体"/>
                <w:kern w:val="0"/>
                <w:sz w:val="24"/>
              </w:rPr>
              <w:t>内容分析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说明对重点、难点内容和知识点的理解及把握。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方法手段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根据专业特点、教学目标、学员认知规律等灵活组合运用相适应的教学方法（包括但不限于讲授法、演示法、讨论法、引导发现法、情境教学法、实验练习法、实地参观法等）。有效利用板图、实物、模型等直观教具，充分运用现代教育技术手段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学习方法指导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以学员为中心，根据老年学员学习和心理特点，有针对性、全方位地提供学习方法指导，提升学员终身学习能力。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说过程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40）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教学设计思路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教学设计思路清晰，教学内容详略安排和时间分配得当。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教学组织编排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环节安排紧扣主题和目标，结构完整、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重点突出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逻辑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严密。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教与学活动有机结合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注重突出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的主体性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考核</w:t>
            </w:r>
            <w:r>
              <w:rPr>
                <w:rFonts w:hint="eastAsia" w:ascii="宋体" w:hAnsi="宋体" w:cs="宋体"/>
                <w:kern w:val="0"/>
                <w:sz w:val="24"/>
              </w:rPr>
              <w:t>设计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说明课外辅导、作业、考核、展示等举措，检验和巩固学习效果。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总体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效果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评价</w:t>
            </w: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0)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形式规范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说课的内容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结构完整、形式规范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重视理论依据的阐述，不仅能说出“是什么”，更能说清“为什么”。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仪态和语言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仪态自然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，仪表仪容端庄，有亲和力。</w:t>
            </w:r>
            <w:r>
              <w:rPr>
                <w:rFonts w:hint="eastAsia" w:ascii="宋体" w:hAnsi="宋体" w:cs="宋体"/>
                <w:kern w:val="0"/>
                <w:szCs w:val="21"/>
              </w:rPr>
              <w:t>普通话准确，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表述</w:t>
            </w:r>
            <w:r>
              <w:rPr>
                <w:rFonts w:hint="eastAsia" w:ascii="宋体" w:hAnsi="宋体" w:cs="宋体"/>
                <w:kern w:val="0"/>
                <w:szCs w:val="21"/>
              </w:rPr>
              <w:t>连贯自然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生动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活泼，使用介绍、陈述性的说课语言。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特色与创新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在课程教学中有突破和独创性成果，对同类课程建设具有积极引导意义和实际借鉴作用。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学员</w:t>
            </w:r>
            <w:r>
              <w:rPr>
                <w:rFonts w:hint="eastAsia" w:ascii="宋体" w:hAnsi="宋体" w:cs="宋体"/>
                <w:kern w:val="0"/>
                <w:sz w:val="24"/>
              </w:rPr>
              <w:t>评价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课程教学效果好，深受学员欢迎，培养的学员获得过相关奖励。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 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6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503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评价意见</w:t>
            </w:r>
          </w:p>
        </w:tc>
        <w:tc>
          <w:tcPr>
            <w:tcW w:w="13273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ordWrap w:val="0"/>
              <w:ind w:firstLine="6960" w:firstLineChars="2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评审组成员签名：                    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63" w:right="1440" w:bottom="1463" w:left="115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dLSu&#10;PlT9BUyhZWGrd5bHNFEqb1fHAGk7xaNAvSroVNxgDrueDW8mDvqf+y7q8T+x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r9+u1AAAAAcBAAAPAAAAAAAAAAEAIAAAACIAAABkcnMvZG93bnJldi54&#10;bWxQSwECFAAUAAAACACHTuJAvXQbdjcCAABv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0BA304F8"/>
    <w:rsid w:val="0BA304F8"/>
    <w:rsid w:val="4D1D5961"/>
    <w:rsid w:val="561C0617"/>
    <w:rsid w:val="669F44A5"/>
    <w:rsid w:val="720D2A8C"/>
    <w:rsid w:val="7E7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2022-05-17T03:12:00Z</dcterms:created>
  <dc:creator>＇Lee</dc:creator>
  <cp:lastModifiedBy>＇Lee</cp:lastModifiedBy>
  <cp:lastPrinted>2022-05-17T03:57:00Z</cp:lastPrinted>
  <dcterms:modified xsi:type="dcterms:W3CDTF">2022-05-18T07:25:46Z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E1E936E51F064D29B48409DF6DF4B858</vt:lpwstr>
  </property>
</Properties>
</file>