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Times New Roman"/>
          <w:sz w:val="32"/>
          <w:szCs w:val="32"/>
        </w:rPr>
      </w:pPr>
      <w:r>
        <w:rPr>
          <w:rFonts w:hint="eastAsia" w:ascii="黑体" w:hAnsi="黑体" w:eastAsia="黑体" w:cs="Times New Roman"/>
          <w:sz w:val="32"/>
          <w:szCs w:val="32"/>
        </w:rPr>
        <w:t xml:space="preserve">附件1                  </w:t>
      </w:r>
      <w:r>
        <w:rPr>
          <w:rFonts w:hint="eastAsia" w:ascii="方正仿宋_GBK" w:hAnsi="方正仿宋_GBK" w:eastAsia="方正仿宋_GBK" w:cs="Times New Roman"/>
          <w:b/>
          <w:bCs/>
          <w:color w:val="FF0000"/>
          <w:sz w:val="32"/>
          <w:szCs w:val="36"/>
        </w:rPr>
        <w:t>论文格式规范</w:t>
      </w:r>
    </w:p>
    <w:p>
      <w:r>
        <mc:AlternateContent>
          <mc:Choice Requires="wps">
            <w:drawing>
              <wp:anchor distT="45720" distB="45720" distL="114300" distR="114300" simplePos="0" relativeHeight="251659264" behindDoc="0" locked="0" layoutInCell="1" allowOverlap="1">
                <wp:simplePos x="0" y="0"/>
                <wp:positionH relativeFrom="column">
                  <wp:posOffset>-69215</wp:posOffset>
                </wp:positionH>
                <wp:positionV relativeFrom="paragraph">
                  <wp:posOffset>204470</wp:posOffset>
                </wp:positionV>
                <wp:extent cx="1276350" cy="1404620"/>
                <wp:effectExtent l="0" t="0" r="19050"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ln>
                      </wps:spPr>
                      <wps:txbx>
                        <w:txbxContent>
                          <w:p>
                            <w:pPr>
                              <w:jc w:val="center"/>
                              <w:rPr>
                                <w:rFonts w:hint="eastAsia"/>
                              </w:rPr>
                            </w:pPr>
                            <w:r>
                              <w:rPr>
                                <w:rFonts w:hint="eastAsia"/>
                              </w:rPr>
                              <w:t>2024年度</w:t>
                            </w:r>
                          </w:p>
                          <w:p>
                            <w:pPr>
                              <w:jc w:val="center"/>
                            </w:pPr>
                            <w:r>
                              <w:rPr>
                                <w:rFonts w:hint="eastAsia"/>
                              </w:rPr>
                              <w:t>老年教育优秀论文</w:t>
                            </w:r>
                          </w:p>
                          <w:p>
                            <w:pPr>
                              <w:jc w:val="center"/>
                            </w:pPr>
                            <w:r>
                              <w:rPr>
                                <w:rFonts w:hint="eastAsia"/>
                              </w:rPr>
                              <w:t>征    文</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5.45pt;margin-top:16.1pt;height:110.6pt;width:100.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DChd9gAAAAKAQAADwAAAAAAAAABACAAAAAiAAAAZHJz&#10;L2Rvd25yZXYueG1sUEsBAhQAFAAAAAgAh07iQNDKzq49AgAAfgQAAA4AAAAAAAAAAQAgAAAAJwEA&#10;AGRycy9lMm9Eb2MueG1sUEsFBgAAAAAGAAYAWQEAANYFAAAAAA==&#10;">
                <v:fill on="t" focussize="0,0"/>
                <v:stroke color="#000000" miterlimit="8" joinstyle="miter"/>
                <v:imagedata o:title=""/>
                <o:lock v:ext="edit" aspectratio="f"/>
                <v:textbox style="mso-fit-shape-to-text:t;">
                  <w:txbxContent>
                    <w:p>
                      <w:pPr>
                        <w:jc w:val="center"/>
                        <w:rPr>
                          <w:rFonts w:hint="eastAsia"/>
                        </w:rPr>
                      </w:pPr>
                      <w:r>
                        <w:rPr>
                          <w:rFonts w:hint="eastAsia"/>
                        </w:rPr>
                        <w:t>2024年度</w:t>
                      </w:r>
                    </w:p>
                    <w:p>
                      <w:pPr>
                        <w:jc w:val="center"/>
                      </w:pPr>
                      <w:r>
                        <w:rPr>
                          <w:rFonts w:hint="eastAsia"/>
                        </w:rPr>
                        <w:t>老年教育优秀论文</w:t>
                      </w:r>
                    </w:p>
                    <w:p>
                      <w:pPr>
                        <w:jc w:val="center"/>
                      </w:pPr>
                      <w:r>
                        <w:rPr>
                          <w:rFonts w:hint="eastAsia"/>
                        </w:rPr>
                        <w:t>征    文</w:t>
                      </w:r>
                    </w:p>
                  </w:txbxContent>
                </v:textbox>
                <w10:wrap type="square"/>
              </v:shape>
            </w:pict>
          </mc:Fallback>
        </mc:AlternateContent>
      </w:r>
    </w:p>
    <w:p/>
    <w:p/>
    <w:p/>
    <w:p/>
    <w:p/>
    <w:p/>
    <w:p/>
    <w:p/>
    <w:p/>
    <w:p/>
    <w:p/>
    <w:p/>
    <w:p>
      <w:pPr>
        <w:ind w:firstLine="950" w:firstLineChars="297"/>
        <w:rPr>
          <w:u w:val="single"/>
        </w:rPr>
      </w:pPr>
      <w:r>
        <w:rPr>
          <w:rFonts w:hint="eastAsia" w:ascii="仿宋_GB2312" w:hAnsi="Calibri" w:eastAsia="仿宋_GB2312" w:cs="Times New Roman"/>
          <w:sz w:val="32"/>
          <w:szCs w:val="32"/>
        </w:rPr>
        <w:t xml:space="preserve">论文题目： </w:t>
      </w:r>
      <w:r>
        <w:rPr>
          <w:u w:val="single"/>
        </w:rPr>
        <w:t xml:space="preserve">                                                            </w:t>
      </w:r>
    </w:p>
    <w:p/>
    <w:p/>
    <w:p/>
    <w:p/>
    <w:p/>
    <w:p/>
    <w:p/>
    <w:p/>
    <w:p/>
    <w:p/>
    <w:p>
      <w:pPr>
        <w:spacing w:line="360" w:lineRule="auto"/>
        <w:rPr>
          <w:rFonts w:hint="eastAsia"/>
        </w:rPr>
      </w:pP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姓名：</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单位：</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通讯地址及邮编：</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电话：</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电子邮箱：</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论文是否已经公开发表：</w:t>
      </w:r>
    </w:p>
    <w:p>
      <w:pPr>
        <w:widowControl/>
        <w:jc w:val="left"/>
      </w:pPr>
      <w:r>
        <w:br w:type="page"/>
      </w:r>
    </w:p>
    <w:p>
      <w:pPr>
        <w:rPr>
          <w:rFonts w:ascii="宋体" w:hAnsi="宋体" w:eastAsia="宋体"/>
          <w:color w:val="FF0000"/>
          <w:sz w:val="28"/>
          <w:szCs w:val="32"/>
        </w:rPr>
      </w:pPr>
      <w:r>
        <w:rPr>
          <w:rFonts w:hint="eastAsia" w:ascii="宋体" w:hAnsi="宋体" w:eastAsia="宋体"/>
          <w:color w:val="FF0000"/>
          <w:sz w:val="28"/>
          <w:szCs w:val="32"/>
        </w:rPr>
        <w:t>格式体例参照《安徽开放大学学报》要求。排版范文如下：</w:t>
      </w:r>
    </w:p>
    <w:p>
      <w:pPr>
        <w:jc w:val="center"/>
        <w:rPr>
          <w:rFonts w:ascii="方正小标宋_GBK" w:hAnsi="方正小标宋_GBK" w:eastAsia="方正小标宋_GBK"/>
          <w:sz w:val="40"/>
        </w:rPr>
      </w:pPr>
    </w:p>
    <w:p>
      <w:pPr>
        <w:jc w:val="center"/>
        <w:rPr>
          <w:rFonts w:ascii="方正小标宋_GBK" w:hAnsi="方正小标宋_GBK" w:eastAsia="方正小标宋_GBK"/>
          <w:sz w:val="40"/>
        </w:rPr>
      </w:pPr>
      <w:r>
        <w:rPr>
          <w:rFonts w:hint="eastAsia" w:ascii="方正小标宋_GBK" w:hAnsi="方正小标宋_GBK" w:eastAsia="方正小标宋_GBK"/>
          <w:sz w:val="40"/>
        </w:rPr>
        <w:t>党的十八大以来中国式现代化研究的前沿热点与</w:t>
      </w:r>
    </w:p>
    <w:p>
      <w:pPr>
        <w:jc w:val="center"/>
        <w:rPr>
          <w:rFonts w:ascii="方正小标宋_GBK" w:hAnsi="方正小标宋_GBK" w:eastAsia="方正小标宋_GBK"/>
          <w:sz w:val="40"/>
        </w:rPr>
      </w:pPr>
      <w:r>
        <w:rPr>
          <w:rFonts w:hint="eastAsia" w:ascii="方正小标宋_GBK" w:hAnsi="方正小标宋_GBK" w:eastAsia="方正小标宋_GBK"/>
          <w:sz w:val="40"/>
        </w:rPr>
        <w:t>演进趋势</w:t>
      </w:r>
    </w:p>
    <w:p>
      <w:pPr>
        <w:jc w:val="center"/>
        <w:rPr>
          <w:rFonts w:ascii="楷体" w:hAnsi="楷体" w:eastAsia="楷体"/>
          <w:sz w:val="24"/>
        </w:rPr>
      </w:pPr>
    </w:p>
    <w:p>
      <w:pPr>
        <w:jc w:val="center"/>
        <w:rPr>
          <w:rFonts w:ascii="楷体" w:hAnsi="楷体" w:eastAsia="楷体"/>
          <w:sz w:val="24"/>
        </w:rPr>
      </w:pPr>
      <w:r>
        <w:rPr>
          <w:rFonts w:hint="eastAsia" w:ascii="楷体" w:hAnsi="楷体" w:eastAsia="楷体"/>
          <w:sz w:val="24"/>
        </w:rPr>
        <w:t>李 力</w:t>
      </w:r>
    </w:p>
    <w:p>
      <w:pPr>
        <w:jc w:val="center"/>
        <w:rPr>
          <w:rFonts w:ascii="楷体" w:hAnsi="楷体" w:eastAsia="楷体"/>
          <w:sz w:val="24"/>
        </w:rPr>
      </w:pPr>
    </w:p>
    <w:p>
      <w:pPr>
        <w:jc w:val="center"/>
        <w:rPr>
          <w:rFonts w:ascii="仿宋_GB2312" w:hAnsi="华文楷体" w:eastAsia="仿宋_GB2312"/>
          <w:sz w:val="24"/>
        </w:rPr>
      </w:pPr>
      <w:r>
        <w:rPr>
          <w:rFonts w:hint="eastAsia" w:ascii="仿宋_GB2312" w:hAnsi="华文楷体" w:eastAsia="仿宋_GB2312"/>
          <w:sz w:val="24"/>
        </w:rPr>
        <w:t>（XX大学 XXX学院，安徽 池州 230022）</w:t>
      </w:r>
    </w:p>
    <w:p>
      <w:pPr>
        <w:spacing w:line="295" w:lineRule="auto"/>
        <w:rPr>
          <w:rFonts w:asciiTheme="minorEastAsia" w:hAnsiTheme="minorEastAsia"/>
          <w:sz w:val="22"/>
          <w:u w:val="single"/>
        </w:rPr>
      </w:pPr>
    </w:p>
    <w:p>
      <w:pPr>
        <w:spacing w:line="295" w:lineRule="auto"/>
        <w:ind w:firstLine="420" w:firstLineChars="200"/>
        <w:rPr>
          <w:rFonts w:ascii="宋体" w:hAnsi="宋体" w:eastAsia="宋体"/>
          <w:szCs w:val="21"/>
        </w:rPr>
      </w:pPr>
      <w:r>
        <w:rPr>
          <w:rFonts w:hint="eastAsia" w:ascii="黑体" w:hAnsi="黑体" w:eastAsia="黑体"/>
          <w:bCs/>
          <w:szCs w:val="21"/>
        </w:rPr>
        <w:t>摘要：</w:t>
      </w:r>
      <w:r>
        <w:rPr>
          <w:rFonts w:ascii="宋体" w:hAnsi="宋体" w:eastAsia="宋体"/>
          <w:szCs w:val="21"/>
        </w:rPr>
        <w:t>基于社会支持理论视角，从政府、非政府组织和家庭（个人）三个维度分析老年教育资源供给</w:t>
      </w:r>
      <w:r>
        <w:rPr>
          <w:rFonts w:hint="eastAsia" w:ascii="宋体" w:hAnsi="宋体" w:eastAsia="宋体"/>
          <w:szCs w:val="21"/>
        </w:rPr>
        <w:t>过程</w:t>
      </w:r>
      <w:r>
        <w:rPr>
          <w:rFonts w:ascii="宋体" w:hAnsi="宋体" w:eastAsia="宋体"/>
          <w:szCs w:val="21"/>
        </w:rPr>
        <w:t>中存在的问题及体系构建。认为当前老年教育资源供给存在的问题主要有：</w:t>
      </w:r>
      <w:r>
        <w:rPr>
          <w:rFonts w:hint="eastAsia" w:ascii="宋体" w:hAnsi="宋体" w:eastAsia="宋体"/>
          <w:szCs w:val="21"/>
        </w:rPr>
        <w:t>供给主体单一，经费投入不足；供给内容不均，马太效应明显；供给方式较少，体制障碍存续；供给效率较低，产出效果有限；供给机制僵化，资源调控受限。据此提出老年教育资源供给体系构建路径，即：</w:t>
      </w:r>
      <w:r>
        <w:rPr>
          <w:rFonts w:ascii="宋体" w:hAnsi="宋体" w:eastAsia="宋体"/>
          <w:szCs w:val="21"/>
        </w:rPr>
        <w:t>资源供给主体</w:t>
      </w:r>
      <w:r>
        <w:rPr>
          <w:rFonts w:hint="eastAsia" w:ascii="宋体" w:hAnsi="宋体" w:eastAsia="宋体"/>
          <w:szCs w:val="21"/>
        </w:rPr>
        <w:t>由一到多；</w:t>
      </w:r>
      <w:r>
        <w:rPr>
          <w:rFonts w:ascii="宋体" w:hAnsi="宋体" w:eastAsia="宋体"/>
          <w:szCs w:val="21"/>
        </w:rPr>
        <w:t>资源供给内容</w:t>
      </w:r>
      <w:r>
        <w:rPr>
          <w:rFonts w:hint="eastAsia" w:ascii="宋体" w:hAnsi="宋体" w:eastAsia="宋体"/>
          <w:szCs w:val="21"/>
        </w:rPr>
        <w:t>由表到里；资源供给方式由点到面；资源供给效率由低到高；资源供给机制由有到优。</w:t>
      </w:r>
    </w:p>
    <w:p>
      <w:pPr>
        <w:spacing w:line="295" w:lineRule="auto"/>
        <w:ind w:firstLine="420" w:firstLineChars="200"/>
        <w:rPr>
          <w:rFonts w:ascii="宋体" w:hAnsi="宋体" w:eastAsia="宋体"/>
          <w:szCs w:val="21"/>
        </w:rPr>
      </w:pPr>
      <w:r>
        <w:rPr>
          <w:rFonts w:hint="eastAsia" w:ascii="黑体" w:hAnsi="黑体" w:eastAsia="黑体"/>
          <w:bCs/>
          <w:szCs w:val="21"/>
        </w:rPr>
        <w:t>关键词：</w:t>
      </w:r>
      <w:r>
        <w:rPr>
          <w:rFonts w:hint="eastAsia" w:ascii="宋体" w:hAnsi="宋体" w:eastAsia="宋体"/>
          <w:szCs w:val="21"/>
        </w:rPr>
        <w:t>社会支持理论；老年教育；资源供给；体系构建</w:t>
      </w:r>
    </w:p>
    <w:p/>
    <w:p>
      <w:pPr>
        <w:pStyle w:val="2"/>
      </w:pPr>
    </w:p>
    <w:p>
      <w:pPr>
        <w:pStyle w:val="2"/>
      </w:pPr>
    </w:p>
    <w:p>
      <w:pPr>
        <w:spacing w:line="295" w:lineRule="auto"/>
        <w:ind w:firstLine="480" w:firstLineChars="200"/>
        <w:rPr>
          <w:rFonts w:ascii="黑体" w:hAnsi="黑体" w:eastAsia="黑体"/>
          <w:sz w:val="24"/>
          <w:szCs w:val="24"/>
        </w:rPr>
      </w:pPr>
      <w:r>
        <w:rPr>
          <w:rFonts w:hint="eastAsia" w:ascii="黑体" w:hAnsi="黑体" w:eastAsia="黑体"/>
          <w:sz w:val="24"/>
          <w:szCs w:val="24"/>
        </w:rPr>
        <w:t>一、社会支持理论内涵</w:t>
      </w:r>
    </w:p>
    <w:p>
      <w:pPr>
        <w:spacing w:line="295" w:lineRule="auto"/>
        <w:ind w:firstLine="480" w:firstLineChars="200"/>
        <w:rPr>
          <w:rFonts w:asciiTheme="minorEastAsia" w:hAnsiTheme="minorEastAsia"/>
          <w:sz w:val="24"/>
          <w:szCs w:val="24"/>
        </w:rPr>
      </w:pPr>
      <w:r>
        <w:rPr>
          <w:rFonts w:hint="eastAsia" w:ascii="宋体" w:hAnsi="宋体" w:eastAsia="宋体"/>
          <w:sz w:val="24"/>
          <w:szCs w:val="24"/>
        </w:rPr>
        <w:t>19世纪末，法国社会学家涂尔干（</w:t>
      </w:r>
      <w:r>
        <w:rPr>
          <w:rFonts w:ascii="宋体" w:hAnsi="宋体" w:eastAsia="宋体" w:cs="Times New Roman"/>
          <w:sz w:val="24"/>
          <w:szCs w:val="24"/>
        </w:rPr>
        <w:t>Durkheim</w:t>
      </w:r>
      <w:r>
        <w:rPr>
          <w:rFonts w:hint="eastAsia" w:ascii="宋体" w:hAnsi="宋体" w:eastAsia="宋体"/>
          <w:sz w:val="24"/>
          <w:szCs w:val="24"/>
        </w:rPr>
        <w:t>）首倡社会支持理论研究，在其代表作《自杀论》一书中，他认为个体之所以出现自杀现象乃是由于他们同整个社会的联系发生了障碍，以至于普遍缺乏社会关系与外界支持。一个世纪以来，诸多学者对社会支持理论进行了探索。胡佩西（</w:t>
      </w:r>
      <w:r>
        <w:rPr>
          <w:rFonts w:ascii="宋体" w:hAnsi="宋体" w:eastAsia="宋体" w:cs="Times New Roman"/>
          <w:sz w:val="24"/>
          <w:szCs w:val="24"/>
        </w:rPr>
        <w:t>Hupcey</w:t>
      </w:r>
      <w:r>
        <w:rPr>
          <w:rFonts w:hint="eastAsia" w:ascii="宋体" w:hAnsi="宋体" w:eastAsia="宋体"/>
          <w:sz w:val="24"/>
          <w:szCs w:val="24"/>
        </w:rPr>
        <w:t>）把诸多对社会支持的定义归纳为以下五类（见表1）</w:t>
      </w:r>
      <w:r>
        <w:rPr>
          <w:rFonts w:hint="eastAsia" w:asciiTheme="minorEastAsia" w:hAnsiTheme="minorEastAsia"/>
          <w:sz w:val="24"/>
          <w:szCs w:val="24"/>
          <w:vertAlign w:val="superscript"/>
        </w:rPr>
        <w:t>[1]</w:t>
      </w:r>
      <w:r>
        <w:rPr>
          <w:rFonts w:hint="eastAsia" w:asciiTheme="minorEastAsia" w:hAnsiTheme="minorEastAsia"/>
          <w:sz w:val="24"/>
          <w:szCs w:val="24"/>
        </w:rPr>
        <w:t xml:space="preserve">： </w:t>
      </w:r>
    </w:p>
    <w:p>
      <w:pPr>
        <w:spacing w:line="295" w:lineRule="auto"/>
        <w:rPr>
          <w:rFonts w:ascii="黑体" w:hAnsi="黑体" w:eastAsia="黑体"/>
          <w:szCs w:val="21"/>
          <w:u w:val="single"/>
        </w:rPr>
      </w:pPr>
    </w:p>
    <w:p>
      <w:pPr>
        <w:pStyle w:val="2"/>
        <w:rPr>
          <w:rFonts w:ascii="黑体" w:hAnsi="黑体" w:eastAsia="黑体"/>
          <w:szCs w:val="21"/>
          <w:u w:val="single"/>
        </w:rPr>
      </w:pPr>
    </w:p>
    <w:p>
      <w:pPr>
        <w:pStyle w:val="2"/>
        <w:rPr>
          <w:rFonts w:ascii="黑体" w:hAnsi="黑体" w:eastAsia="黑体"/>
          <w:szCs w:val="21"/>
          <w:u w:val="single"/>
        </w:rPr>
      </w:pPr>
      <w:bookmarkStart w:id="0" w:name="_GoBack"/>
      <w:bookmarkEnd w:id="0"/>
    </w:p>
    <w:p>
      <w:pPr>
        <w:spacing w:line="295" w:lineRule="auto"/>
        <w:rPr>
          <w:rFonts w:ascii="黑体" w:hAnsi="黑体" w:eastAsia="黑体"/>
          <w:szCs w:val="21"/>
          <w:u w:val="single"/>
        </w:rPr>
      </w:pPr>
    </w:p>
    <w:p>
      <w:pPr>
        <w:spacing w:line="295" w:lineRule="auto"/>
        <w:rPr>
          <w:rFonts w:ascii="黑体" w:hAnsi="黑体" w:eastAsia="黑体"/>
          <w:szCs w:val="21"/>
          <w:u w:val="single"/>
        </w:rPr>
      </w:pPr>
      <w:r>
        <w:rPr>
          <w:rFonts w:hint="eastAsia" w:ascii="黑体" w:hAnsi="黑体" w:eastAsia="黑体"/>
          <w:szCs w:val="21"/>
          <w:u w:val="single"/>
        </w:rPr>
        <w:t xml:space="preserve">                             </w:t>
      </w:r>
    </w:p>
    <w:p>
      <w:pPr>
        <w:spacing w:line="295" w:lineRule="auto"/>
        <w:ind w:firstLine="420" w:firstLineChars="200"/>
        <w:rPr>
          <w:rFonts w:ascii="黑体" w:hAnsi="黑体" w:eastAsia="黑体"/>
          <w:szCs w:val="21"/>
        </w:rPr>
      </w:pPr>
    </w:p>
    <w:p>
      <w:pPr>
        <w:spacing w:line="295" w:lineRule="auto"/>
        <w:ind w:firstLine="420" w:firstLineChars="200"/>
        <w:rPr>
          <w:rFonts w:ascii="仿宋_GB2312" w:hAnsi="华文楷体" w:eastAsia="仿宋_GB2312"/>
          <w:szCs w:val="21"/>
        </w:rPr>
      </w:pPr>
      <w:r>
        <w:rPr>
          <w:rFonts w:hint="eastAsia" w:ascii="黑体" w:hAnsi="黑体" w:eastAsia="黑体"/>
          <w:szCs w:val="21"/>
        </w:rPr>
        <w:t>基金项目：</w:t>
      </w:r>
      <w:r>
        <w:rPr>
          <w:rFonts w:hint="eastAsia" w:ascii="仿宋_GB2312" w:hAnsi="华文楷体" w:eastAsia="仿宋_GB2312"/>
          <w:szCs w:val="21"/>
        </w:rPr>
        <w:t>XXXXXXX(编号：LK897-3)</w:t>
      </w:r>
    </w:p>
    <w:p>
      <w:pPr>
        <w:spacing w:line="295" w:lineRule="auto"/>
        <w:ind w:firstLine="420" w:firstLineChars="200"/>
        <w:rPr>
          <w:rFonts w:ascii="仿宋_GB2312" w:hAnsi="华文楷体" w:eastAsia="仿宋_GB2312"/>
          <w:szCs w:val="21"/>
        </w:rPr>
      </w:pPr>
      <w:r>
        <w:rPr>
          <w:rFonts w:hint="eastAsia" w:ascii="黑体" w:hAnsi="黑体" w:eastAsia="黑体"/>
          <w:szCs w:val="21"/>
        </w:rPr>
        <w:t>作者简介：</w:t>
      </w:r>
      <w:r>
        <w:rPr>
          <w:rFonts w:hint="eastAsia" w:ascii="仿宋_GB2312" w:hAnsi="华文楷体" w:eastAsia="仿宋_GB2312"/>
          <w:szCs w:val="21"/>
        </w:rPr>
        <w:t>李力（1988-）,男,安徽黄山人,副教授,硕士。研究方向：远程教育。</w:t>
      </w:r>
    </w:p>
    <w:p>
      <w:pPr>
        <w:pStyle w:val="2"/>
        <w:ind w:firstLine="210"/>
      </w:pPr>
    </w:p>
    <w:p>
      <w:pPr>
        <w:pStyle w:val="2"/>
        <w:ind w:firstLine="210"/>
      </w:pPr>
    </w:p>
    <w:p>
      <w:pPr>
        <w:pStyle w:val="7"/>
        <w:shd w:val="clear" w:color="auto" w:fill="FFFFFF"/>
        <w:spacing w:before="0" w:beforeAutospacing="0" w:after="0" w:afterAutospacing="0" w:line="300" w:lineRule="auto"/>
        <w:textAlignment w:val="baseline"/>
        <w:rPr>
          <w:rFonts w:ascii="微软雅黑" w:hAnsi="微软雅黑" w:eastAsia="微软雅黑"/>
          <w:color w:val="000000"/>
        </w:rPr>
      </w:pPr>
      <w:r>
        <w:rPr>
          <w:rFonts w:hint="eastAsia" w:cs="Calibri"/>
          <w:color w:val="000000"/>
        </w:rPr>
        <w:t>参考文献：</w:t>
      </w:r>
    </w:p>
    <w:p>
      <w:pPr>
        <w:pStyle w:val="7"/>
        <w:shd w:val="clear" w:color="auto" w:fill="FFFFFF"/>
        <w:spacing w:before="0" w:beforeAutospacing="0" w:after="0" w:afterAutospacing="0" w:line="300" w:lineRule="auto"/>
        <w:textAlignment w:val="baseline"/>
        <w:rPr>
          <w:color w:val="000000"/>
        </w:rPr>
      </w:pPr>
      <w:r>
        <w:rPr>
          <w:rFonts w:hint="eastAsia"/>
          <w:color w:val="000000"/>
        </w:rPr>
        <w:t>[1]罗伯特·赫里斯,迈克尔·彼得斯.创业学[M].北京:清华大学出版社,2004：32.</w:t>
      </w:r>
    </w:p>
    <w:p>
      <w:pPr>
        <w:pStyle w:val="7"/>
        <w:shd w:val="clear" w:color="auto" w:fill="FFFFFF"/>
        <w:spacing w:before="0" w:beforeAutospacing="0" w:after="0" w:afterAutospacing="0" w:line="300" w:lineRule="auto"/>
        <w:textAlignment w:val="baseline"/>
        <w:rPr>
          <w:color w:val="000000"/>
        </w:rPr>
      </w:pPr>
      <w:r>
        <w:rPr>
          <w:rFonts w:hint="eastAsia"/>
          <w:color w:val="000000"/>
        </w:rPr>
        <w:t>[2]鑫显贺，王昌长，王忠东，等.一种用于在线检测局部放电的数字滤波技术[J].清华大学学报（自然科学版），1993，33（4）：62.</w:t>
      </w:r>
    </w:p>
    <w:p>
      <w:pPr>
        <w:pStyle w:val="7"/>
        <w:shd w:val="clear" w:color="auto" w:fill="FFFFFF"/>
        <w:spacing w:before="0" w:beforeAutospacing="0" w:after="0" w:afterAutospacing="0" w:line="300" w:lineRule="auto"/>
        <w:textAlignment w:val="baseline"/>
        <w:rPr>
          <w:color w:val="000000"/>
        </w:rPr>
      </w:pPr>
      <w:r>
        <w:rPr>
          <w:rFonts w:hint="eastAsia"/>
          <w:color w:val="000000"/>
        </w:rPr>
        <w:t>[3]张加铨，关景时，程鹏.常用药物手册[K].北京：人民卫生出版社，1982：337.</w:t>
      </w:r>
    </w:p>
    <w:p>
      <w:pPr>
        <w:pStyle w:val="7"/>
        <w:shd w:val="clear" w:color="auto" w:fill="FFFFFF"/>
        <w:spacing w:before="0" w:beforeAutospacing="0" w:after="0" w:afterAutospacing="0" w:line="300" w:lineRule="auto"/>
        <w:textAlignment w:val="baseline"/>
        <w:rPr>
          <w:color w:val="000000"/>
        </w:rPr>
      </w:pPr>
      <w:r>
        <w:rPr>
          <w:rFonts w:hint="eastAsia"/>
          <w:color w:val="000000"/>
        </w:rPr>
        <w:t>[4]张筑生.微分半动力系统的不变集[D].北京：北京大学数学系数学研究所，1983:112.</w:t>
      </w:r>
    </w:p>
    <w:p>
      <w:pPr>
        <w:pStyle w:val="7"/>
        <w:shd w:val="clear" w:color="auto" w:fill="FFFFFF"/>
        <w:spacing w:before="0" w:beforeAutospacing="0" w:after="0" w:afterAutospacing="0" w:line="300" w:lineRule="auto"/>
        <w:textAlignment w:val="baseline"/>
        <w:rPr>
          <w:color w:val="000000"/>
        </w:rPr>
      </w:pPr>
      <w:r>
        <w:rPr>
          <w:rFonts w:hint="eastAsia"/>
          <w:color w:val="000000"/>
        </w:rPr>
        <w:t>[5]冯西桥.核反应堆压力管道与压力容器的LBB分析[R].北京：清华大学核能技术设计院，1997:25.</w:t>
      </w:r>
    </w:p>
    <w:p>
      <w:pPr>
        <w:pStyle w:val="7"/>
        <w:shd w:val="clear" w:color="auto" w:fill="FFFFFF"/>
        <w:spacing w:before="0" w:beforeAutospacing="0" w:after="0" w:afterAutospacing="0" w:line="300" w:lineRule="auto"/>
        <w:textAlignment w:val="baseline"/>
        <w:rPr>
          <w:color w:val="000000"/>
        </w:rPr>
      </w:pPr>
      <w:r>
        <w:rPr>
          <w:rFonts w:hint="eastAsia"/>
          <w:color w:val="000000"/>
        </w:rPr>
        <w:t>[6]钏文发.非线性规划在可燃毒物配置中的应用[C]//赵玮.运筹学的理论与应用：中国运筹学会第五届大会论文集.西安：西安电子科技大学出版社，1996：469.</w:t>
      </w:r>
    </w:p>
    <w:p>
      <w:pPr>
        <w:pStyle w:val="7"/>
        <w:shd w:val="clear" w:color="auto" w:fill="FFFFFF"/>
        <w:spacing w:before="0" w:beforeAutospacing="0" w:after="0" w:afterAutospacing="0" w:line="300" w:lineRule="auto"/>
        <w:textAlignment w:val="baseline"/>
        <w:rPr>
          <w:color w:val="000000"/>
        </w:rPr>
      </w:pPr>
      <w:r>
        <w:rPr>
          <w:rFonts w:hint="eastAsia"/>
          <w:color w:val="000000"/>
        </w:rPr>
        <w:t>[7]谢希德.创造学习的新思路[N].人民日报，1998-12-25（10）.</w:t>
      </w:r>
    </w:p>
    <w:p>
      <w:pPr>
        <w:spacing w:line="300" w:lineRule="auto"/>
        <w:ind w:firstLine="420" w:firstLineChars="200"/>
        <w:rPr>
          <w:rFonts w:asciiTheme="minorEastAsia" w:hAnsiTheme="minorEastAsia"/>
        </w:rPr>
      </w:pPr>
    </w:p>
    <w:p>
      <w:pPr>
        <w:spacing w:line="300" w:lineRule="auto"/>
        <w:ind w:firstLine="420" w:firstLineChars="200"/>
        <w:rPr>
          <w:rFonts w:asciiTheme="minorEastAsia" w:hAnsiTheme="minorEastAsia"/>
        </w:rPr>
      </w:pPr>
    </w:p>
    <w:p>
      <w:pPr>
        <w:spacing w:line="300" w:lineRule="auto"/>
        <w:jc w:val="left"/>
        <w:rPr>
          <w:rFonts w:cs="Times New Roman" w:asciiTheme="minorEastAsia" w:hAnsiTheme="minorEastAsia"/>
          <w:sz w:val="24"/>
          <w:szCs w:val="24"/>
        </w:rPr>
      </w:pPr>
    </w:p>
    <w:p>
      <w:pPr>
        <w:pStyle w:val="2"/>
        <w:spacing w:after="0" w:line="300" w:lineRule="auto"/>
        <w:ind w:firstLine="210"/>
      </w:pPr>
    </w:p>
    <w:p>
      <w:pPr>
        <w:widowControl/>
        <w:snapToGrid w:val="0"/>
        <w:spacing w:line="400" w:lineRule="exact"/>
        <w:ind w:firstLine="560" w:firstLineChars="200"/>
        <w:rPr>
          <w:rFonts w:ascii="仿宋" w:hAnsi="仿宋" w:eastAsia="仿宋" w:cs="宋体"/>
          <w:sz w:val="28"/>
          <w:szCs w:val="28"/>
        </w:rPr>
      </w:pPr>
    </w:p>
    <w:p>
      <w:pPr>
        <w:tabs>
          <w:tab w:val="left" w:pos="540"/>
        </w:tabs>
      </w:pPr>
      <w:r>
        <w:rPr>
          <w:rFonts w:ascii="仿宋" w:hAnsi="仿宋" w:eastAsia="仿宋" w:cs="宋体"/>
          <w:sz w:val="28"/>
          <w:szCs w:val="28"/>
        </w:rPr>
        <w:tab/>
      </w:r>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xZGZkMmU3MTcwZjU2MTRmMTkyZmU2NmI1YzQxMTUifQ=="/>
  </w:docVars>
  <w:rsids>
    <w:rsidRoot w:val="00C8468F"/>
    <w:rsid w:val="00035748"/>
    <w:rsid w:val="000550B2"/>
    <w:rsid w:val="00077973"/>
    <w:rsid w:val="000A11B6"/>
    <w:rsid w:val="000E38FC"/>
    <w:rsid w:val="0014199F"/>
    <w:rsid w:val="0017590B"/>
    <w:rsid w:val="00223C67"/>
    <w:rsid w:val="002B4C20"/>
    <w:rsid w:val="002E4780"/>
    <w:rsid w:val="00307850"/>
    <w:rsid w:val="00334C67"/>
    <w:rsid w:val="003B5753"/>
    <w:rsid w:val="003D3545"/>
    <w:rsid w:val="004252C3"/>
    <w:rsid w:val="0045149B"/>
    <w:rsid w:val="004F73A0"/>
    <w:rsid w:val="00520466"/>
    <w:rsid w:val="005778E5"/>
    <w:rsid w:val="005778EA"/>
    <w:rsid w:val="005850FF"/>
    <w:rsid w:val="00590989"/>
    <w:rsid w:val="005B3AA1"/>
    <w:rsid w:val="005C3720"/>
    <w:rsid w:val="005C4C51"/>
    <w:rsid w:val="005D3EF7"/>
    <w:rsid w:val="005F2B3E"/>
    <w:rsid w:val="006202B5"/>
    <w:rsid w:val="006708E9"/>
    <w:rsid w:val="00675193"/>
    <w:rsid w:val="006900D9"/>
    <w:rsid w:val="006B34C6"/>
    <w:rsid w:val="006C06D2"/>
    <w:rsid w:val="006F2B64"/>
    <w:rsid w:val="00780338"/>
    <w:rsid w:val="007849A2"/>
    <w:rsid w:val="007A528E"/>
    <w:rsid w:val="007C1830"/>
    <w:rsid w:val="007E0920"/>
    <w:rsid w:val="00885515"/>
    <w:rsid w:val="008948C2"/>
    <w:rsid w:val="0089620F"/>
    <w:rsid w:val="008E1753"/>
    <w:rsid w:val="0090594A"/>
    <w:rsid w:val="0092058C"/>
    <w:rsid w:val="00920F5A"/>
    <w:rsid w:val="009520CD"/>
    <w:rsid w:val="00974CFA"/>
    <w:rsid w:val="009D753C"/>
    <w:rsid w:val="00A15FCD"/>
    <w:rsid w:val="00A26830"/>
    <w:rsid w:val="00A30A61"/>
    <w:rsid w:val="00A43217"/>
    <w:rsid w:val="00AA2CC6"/>
    <w:rsid w:val="00AF3442"/>
    <w:rsid w:val="00B25201"/>
    <w:rsid w:val="00BB5269"/>
    <w:rsid w:val="00BC0889"/>
    <w:rsid w:val="00C8468F"/>
    <w:rsid w:val="00C84869"/>
    <w:rsid w:val="00CC3F57"/>
    <w:rsid w:val="00CC632D"/>
    <w:rsid w:val="00CF08C0"/>
    <w:rsid w:val="00D900D8"/>
    <w:rsid w:val="00D92B16"/>
    <w:rsid w:val="00E04B8C"/>
    <w:rsid w:val="00E26F09"/>
    <w:rsid w:val="00ED7C7A"/>
    <w:rsid w:val="00F166DD"/>
    <w:rsid w:val="00F66748"/>
    <w:rsid w:val="00F945F9"/>
    <w:rsid w:val="00FD3C0C"/>
    <w:rsid w:val="00FD63F9"/>
    <w:rsid w:val="00FE4236"/>
    <w:rsid w:val="00FF380B"/>
    <w:rsid w:val="0A7E5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3"/>
    <w:autoRedefine/>
    <w:unhideWhenUsed/>
    <w:qFormat/>
    <w:uiPriority w:val="99"/>
    <w:pPr>
      <w:ind w:firstLine="420" w:firstLineChars="100"/>
    </w:pPr>
  </w:style>
  <w:style w:type="paragraph" w:styleId="3">
    <w:name w:val="Body Text"/>
    <w:basedOn w:val="1"/>
    <w:link w:val="12"/>
    <w:autoRedefine/>
    <w:semiHidden/>
    <w:unhideWhenUsed/>
    <w:qFormat/>
    <w:uiPriority w:val="99"/>
    <w:pPr>
      <w:spacing w:after="120"/>
    </w:pPr>
  </w:style>
  <w:style w:type="paragraph" w:styleId="4">
    <w:name w:val="Date"/>
    <w:basedOn w:val="1"/>
    <w:next w:val="1"/>
    <w:link w:val="14"/>
    <w:semiHidden/>
    <w:unhideWhenUsed/>
    <w:uiPriority w:val="99"/>
    <w:pPr>
      <w:ind w:left="100" w:leftChars="2500"/>
    </w:p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uiPriority w:val="99"/>
    <w:rPr>
      <w:sz w:val="18"/>
      <w:szCs w:val="18"/>
    </w:rPr>
  </w:style>
  <w:style w:type="character" w:customStyle="1" w:styleId="11">
    <w:name w:val="页脚 字符"/>
    <w:basedOn w:val="9"/>
    <w:link w:val="5"/>
    <w:uiPriority w:val="99"/>
    <w:rPr>
      <w:sz w:val="18"/>
      <w:szCs w:val="18"/>
    </w:rPr>
  </w:style>
  <w:style w:type="character" w:customStyle="1" w:styleId="12">
    <w:name w:val="正文文本 字符"/>
    <w:basedOn w:val="9"/>
    <w:link w:val="3"/>
    <w:semiHidden/>
    <w:uiPriority w:val="99"/>
    <w:rPr>
      <w14:ligatures w14:val="none"/>
    </w:rPr>
  </w:style>
  <w:style w:type="character" w:customStyle="1" w:styleId="13">
    <w:name w:val="正文文本首行缩进 字符"/>
    <w:basedOn w:val="12"/>
    <w:link w:val="2"/>
    <w:uiPriority w:val="99"/>
    <w:rPr>
      <w14:ligatures w14:val="none"/>
    </w:rPr>
  </w:style>
  <w:style w:type="character" w:customStyle="1" w:styleId="14">
    <w:name w:val="日期 字符"/>
    <w:basedOn w:val="9"/>
    <w:link w:val="4"/>
    <w:semiHidden/>
    <w:uiPriority w:val="99"/>
    <w:rPr>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179</Words>
  <Characters>1021</Characters>
  <Lines>8</Lines>
  <Paragraphs>2</Paragraphs>
  <TotalTime>50</TotalTime>
  <ScaleCrop>false</ScaleCrop>
  <LinksUpToDate>false</LinksUpToDate>
  <CharactersWithSpaces>1198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2024-03-20T08:35:00Z</dcterms:created>
  <dc:creator>fei zhang</dc:creator>
  <cp:lastModifiedBy>江丽</cp:lastModifiedBy>
  <dcterms:modified xsi:type="dcterms:W3CDTF">2024-03-28T00:52:24Z</dcterms:modified>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3E8826A8C13242DFBD9A07D3888A20DC_12</vt:lpwstr>
  </property>
</Properties>
</file>